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FF02A" w14:textId="5D0B008B" w:rsidR="00E84DA4" w:rsidRDefault="007F2752">
      <w:pPr>
        <w:jc w:val="center"/>
      </w:pPr>
      <w:r>
        <w:rPr>
          <w:b/>
          <w:sz w:val="28"/>
          <w:szCs w:val="28"/>
          <w:u w:val="single"/>
        </w:rPr>
        <w:t>DCTU/AFSCME 189</w:t>
      </w:r>
      <w:r w:rsidR="00794DAA">
        <w:rPr>
          <w:b/>
          <w:sz w:val="28"/>
          <w:szCs w:val="28"/>
          <w:u w:val="single"/>
        </w:rPr>
        <w:t xml:space="preserve"> GRIEVANCE FORM</w:t>
      </w:r>
    </w:p>
    <w:p w14:paraId="133D2EF6" w14:textId="77777777" w:rsidR="00E84DA4" w:rsidRDefault="00E84DA4"/>
    <w:p w14:paraId="2D3F5395" w14:textId="77777777" w:rsidR="00E84DA4" w:rsidRDefault="00E84DA4"/>
    <w:tbl>
      <w:tblPr>
        <w:tblStyle w:val="a"/>
        <w:tblW w:w="9360" w:type="dxa"/>
        <w:jc w:val="center"/>
        <w:tblLayout w:type="fixed"/>
        <w:tblLook w:val="0000" w:firstRow="0" w:lastRow="0" w:firstColumn="0" w:lastColumn="0" w:noHBand="0" w:noVBand="0"/>
      </w:tblPr>
      <w:tblGrid>
        <w:gridCol w:w="4320"/>
        <w:gridCol w:w="5040"/>
      </w:tblGrid>
      <w:tr w:rsidR="00E84DA4" w14:paraId="7A0A314A" w14:textId="77777777">
        <w:trPr>
          <w:jc w:val="center"/>
        </w:trPr>
        <w:tc>
          <w:tcPr>
            <w:tcW w:w="4320" w:type="dxa"/>
            <w:tcBorders>
              <w:top w:val="single" w:sz="6" w:space="0" w:color="FFFFFF"/>
              <w:left w:val="single" w:sz="6" w:space="0" w:color="FFFFFF"/>
              <w:bottom w:val="single" w:sz="6" w:space="0" w:color="FFFFFF"/>
              <w:right w:val="single" w:sz="6" w:space="0" w:color="FFFFFF"/>
            </w:tcBorders>
          </w:tcPr>
          <w:p w14:paraId="71764827" w14:textId="77777777" w:rsidR="00E84DA4" w:rsidRDefault="00E84DA4">
            <w:pPr>
              <w:spacing w:line="120" w:lineRule="auto"/>
            </w:pPr>
          </w:p>
          <w:p w14:paraId="61BAF5E1" w14:textId="77777777" w:rsidR="00E84DA4" w:rsidRDefault="00794DAA">
            <w:pPr>
              <w:spacing w:after="58"/>
            </w:pPr>
            <w:r>
              <w:t xml:space="preserve">Date Filed: </w:t>
            </w:r>
          </w:p>
          <w:p w14:paraId="5C77A05D" w14:textId="4556C023" w:rsidR="00E84DA4" w:rsidRDefault="00794DAA">
            <w:pPr>
              <w:spacing w:after="58"/>
            </w:pPr>
            <w:r>
              <w:t>04/</w:t>
            </w:r>
            <w:r w:rsidR="007F2752">
              <w:t>1</w:t>
            </w:r>
            <w:r w:rsidR="00517D94">
              <w:t>7</w:t>
            </w:r>
            <w:r>
              <w:t>/20</w:t>
            </w:r>
          </w:p>
        </w:tc>
        <w:tc>
          <w:tcPr>
            <w:tcW w:w="5040" w:type="dxa"/>
            <w:tcBorders>
              <w:top w:val="single" w:sz="6" w:space="0" w:color="FFFFFF"/>
              <w:left w:val="single" w:sz="6" w:space="0" w:color="FFFFFF"/>
              <w:bottom w:val="single" w:sz="6" w:space="0" w:color="FFFFFF"/>
              <w:right w:val="single" w:sz="6" w:space="0" w:color="FFFFFF"/>
            </w:tcBorders>
          </w:tcPr>
          <w:p w14:paraId="744FF1A3" w14:textId="77777777" w:rsidR="00E84DA4" w:rsidRDefault="00E84DA4">
            <w:pPr>
              <w:spacing w:line="120" w:lineRule="auto"/>
            </w:pPr>
          </w:p>
          <w:p w14:paraId="39F602F6" w14:textId="77777777" w:rsidR="00E84DA4" w:rsidRDefault="00794DAA">
            <w:pPr>
              <w:spacing w:after="58"/>
            </w:pPr>
            <w:r>
              <w:t xml:space="preserve">Bureau/Department:  </w:t>
            </w:r>
          </w:p>
          <w:p w14:paraId="2DDC5DE0" w14:textId="48596D0A" w:rsidR="00E84DA4" w:rsidRDefault="007F2752">
            <w:pPr>
              <w:spacing w:after="58"/>
            </w:pPr>
            <w:r>
              <w:t>All Bureaus</w:t>
            </w:r>
          </w:p>
        </w:tc>
      </w:tr>
      <w:tr w:rsidR="00E84DA4" w14:paraId="50538165" w14:textId="77777777">
        <w:trPr>
          <w:jc w:val="center"/>
        </w:trPr>
        <w:tc>
          <w:tcPr>
            <w:tcW w:w="4320" w:type="dxa"/>
            <w:tcBorders>
              <w:top w:val="single" w:sz="6" w:space="0" w:color="FFFFFF"/>
              <w:left w:val="single" w:sz="6" w:space="0" w:color="FFFFFF"/>
              <w:bottom w:val="single" w:sz="6" w:space="0" w:color="FFFFFF"/>
              <w:right w:val="single" w:sz="6" w:space="0" w:color="FFFFFF"/>
            </w:tcBorders>
          </w:tcPr>
          <w:p w14:paraId="7411D8B1" w14:textId="77777777" w:rsidR="00E84DA4" w:rsidRDefault="00E84DA4">
            <w:pPr>
              <w:spacing w:line="120" w:lineRule="auto"/>
            </w:pPr>
          </w:p>
          <w:p w14:paraId="6BB30565" w14:textId="77777777" w:rsidR="00E84DA4" w:rsidRDefault="00794DAA">
            <w:pPr>
              <w:spacing w:after="58"/>
            </w:pPr>
            <w:r>
              <w:t xml:space="preserve">Employee Name: </w:t>
            </w:r>
          </w:p>
          <w:p w14:paraId="4DE2E0B6" w14:textId="37655733" w:rsidR="00E84DA4" w:rsidRDefault="00794DAA">
            <w:pPr>
              <w:spacing w:after="58"/>
            </w:pPr>
            <w:r>
              <w:t xml:space="preserve">All </w:t>
            </w:r>
            <w:r w:rsidR="008E2697">
              <w:t>a</w:t>
            </w:r>
            <w:r>
              <w:t xml:space="preserve">ffected </w:t>
            </w:r>
            <w:r w:rsidR="008E2697">
              <w:t>e</w:t>
            </w:r>
            <w:r>
              <w:t xml:space="preserve">mployees </w:t>
            </w:r>
            <w:r w:rsidR="008E2697">
              <w:t xml:space="preserve">covered by the </w:t>
            </w:r>
            <w:r w:rsidR="007F2752">
              <w:t>DCTU</w:t>
            </w:r>
            <w:r w:rsidR="008E2697">
              <w:t xml:space="preserve"> CBA</w:t>
            </w:r>
          </w:p>
        </w:tc>
        <w:tc>
          <w:tcPr>
            <w:tcW w:w="5040" w:type="dxa"/>
            <w:tcBorders>
              <w:top w:val="single" w:sz="6" w:space="0" w:color="FFFFFF"/>
              <w:left w:val="single" w:sz="6" w:space="0" w:color="FFFFFF"/>
              <w:bottom w:val="single" w:sz="6" w:space="0" w:color="FFFFFF"/>
              <w:right w:val="single" w:sz="6" w:space="0" w:color="FFFFFF"/>
            </w:tcBorders>
          </w:tcPr>
          <w:p w14:paraId="13D38B0C" w14:textId="77777777" w:rsidR="00E84DA4" w:rsidRDefault="00E84DA4">
            <w:pPr>
              <w:spacing w:line="120" w:lineRule="auto"/>
            </w:pPr>
          </w:p>
          <w:p w14:paraId="358A1889" w14:textId="77777777" w:rsidR="00E84DA4" w:rsidRDefault="00794DAA">
            <w:pPr>
              <w:spacing w:after="58"/>
            </w:pPr>
            <w:r>
              <w:t xml:space="preserve">Employee Title: </w:t>
            </w:r>
          </w:p>
          <w:p w14:paraId="0DDC1D0F" w14:textId="77777777" w:rsidR="00E84DA4" w:rsidRDefault="00794DAA">
            <w:pPr>
              <w:spacing w:after="58"/>
            </w:pPr>
            <w:r>
              <w:t>Various</w:t>
            </w:r>
          </w:p>
        </w:tc>
      </w:tr>
      <w:tr w:rsidR="00E84DA4" w14:paraId="06FFCA3D" w14:textId="77777777">
        <w:trPr>
          <w:jc w:val="center"/>
        </w:trPr>
        <w:tc>
          <w:tcPr>
            <w:tcW w:w="4320" w:type="dxa"/>
            <w:tcBorders>
              <w:top w:val="single" w:sz="6" w:space="0" w:color="FFFFFF"/>
              <w:left w:val="single" w:sz="6" w:space="0" w:color="FFFFFF"/>
              <w:bottom w:val="single" w:sz="6" w:space="0" w:color="FFFFFF"/>
              <w:right w:val="single" w:sz="6" w:space="0" w:color="FFFFFF"/>
            </w:tcBorders>
          </w:tcPr>
          <w:p w14:paraId="2E97DB55" w14:textId="77777777" w:rsidR="00E84DA4" w:rsidRDefault="00E84DA4">
            <w:pPr>
              <w:spacing w:line="120" w:lineRule="auto"/>
            </w:pPr>
          </w:p>
          <w:p w14:paraId="12C604FA" w14:textId="77777777" w:rsidR="00E84DA4" w:rsidRDefault="00794DAA">
            <w:pPr>
              <w:spacing w:after="58"/>
            </w:pPr>
            <w:r>
              <w:t>Employee Work Phone:</w:t>
            </w:r>
          </w:p>
          <w:p w14:paraId="51B9AE08" w14:textId="1493FD11" w:rsidR="00E84DA4" w:rsidRDefault="008E2697">
            <w:pPr>
              <w:spacing w:after="58"/>
            </w:pPr>
            <w:r>
              <w:t>Various</w:t>
            </w:r>
          </w:p>
        </w:tc>
        <w:tc>
          <w:tcPr>
            <w:tcW w:w="5040" w:type="dxa"/>
            <w:tcBorders>
              <w:top w:val="single" w:sz="6" w:space="0" w:color="FFFFFF"/>
              <w:left w:val="single" w:sz="6" w:space="0" w:color="FFFFFF"/>
              <w:bottom w:val="single" w:sz="6" w:space="0" w:color="FFFFFF"/>
              <w:right w:val="single" w:sz="6" w:space="0" w:color="FFFFFF"/>
            </w:tcBorders>
          </w:tcPr>
          <w:p w14:paraId="5B56401F" w14:textId="77777777" w:rsidR="00E84DA4" w:rsidRDefault="00E84DA4">
            <w:pPr>
              <w:spacing w:line="120" w:lineRule="auto"/>
            </w:pPr>
          </w:p>
          <w:p w14:paraId="16E6CF96" w14:textId="77777777" w:rsidR="00E84DA4" w:rsidRDefault="00794DAA">
            <w:pPr>
              <w:spacing w:after="58"/>
            </w:pPr>
            <w:r>
              <w:t xml:space="preserve">Employee Home Phone: </w:t>
            </w:r>
          </w:p>
          <w:p w14:paraId="2FB67DAB" w14:textId="4304A68C" w:rsidR="00E84DA4" w:rsidRDefault="008E2697">
            <w:pPr>
              <w:spacing w:after="58"/>
            </w:pPr>
            <w:r>
              <w:t>Various</w:t>
            </w:r>
          </w:p>
        </w:tc>
      </w:tr>
      <w:tr w:rsidR="00E84DA4" w14:paraId="02C2CCF7" w14:textId="77777777">
        <w:trPr>
          <w:jc w:val="center"/>
        </w:trPr>
        <w:tc>
          <w:tcPr>
            <w:tcW w:w="4320" w:type="dxa"/>
            <w:tcBorders>
              <w:top w:val="single" w:sz="6" w:space="0" w:color="FFFFFF"/>
              <w:left w:val="single" w:sz="6" w:space="0" w:color="FFFFFF"/>
              <w:bottom w:val="single" w:sz="6" w:space="0" w:color="FFFFFF"/>
              <w:right w:val="single" w:sz="6" w:space="0" w:color="FFFFFF"/>
            </w:tcBorders>
          </w:tcPr>
          <w:p w14:paraId="1DFE33B8" w14:textId="77777777" w:rsidR="00E84DA4" w:rsidRDefault="00E84DA4">
            <w:pPr>
              <w:spacing w:line="120" w:lineRule="auto"/>
            </w:pPr>
          </w:p>
          <w:p w14:paraId="3C12DE1B" w14:textId="77777777" w:rsidR="00E84DA4" w:rsidRDefault="00794DAA">
            <w:pPr>
              <w:spacing w:after="58"/>
            </w:pPr>
            <w:r>
              <w:t xml:space="preserve">Supervisor:  </w:t>
            </w:r>
          </w:p>
          <w:p w14:paraId="3ADF777E" w14:textId="77777777" w:rsidR="00E84DA4" w:rsidRDefault="00794DAA">
            <w:pPr>
              <w:spacing w:after="58"/>
            </w:pPr>
            <w:r>
              <w:t>Various</w:t>
            </w:r>
          </w:p>
          <w:p w14:paraId="29F7F3C4" w14:textId="77777777" w:rsidR="00E84DA4" w:rsidRDefault="00794DAA">
            <w:pPr>
              <w:spacing w:after="58"/>
            </w:pPr>
            <w:r>
              <w:br/>
              <w:t>Grievance Level: One</w:t>
            </w:r>
          </w:p>
        </w:tc>
        <w:tc>
          <w:tcPr>
            <w:tcW w:w="5040" w:type="dxa"/>
            <w:tcBorders>
              <w:top w:val="single" w:sz="6" w:space="0" w:color="FFFFFF"/>
              <w:left w:val="single" w:sz="6" w:space="0" w:color="FFFFFF"/>
              <w:bottom w:val="single" w:sz="6" w:space="0" w:color="FFFFFF"/>
              <w:right w:val="single" w:sz="6" w:space="0" w:color="FFFFFF"/>
            </w:tcBorders>
          </w:tcPr>
          <w:p w14:paraId="284F7BA0" w14:textId="77777777" w:rsidR="00E84DA4" w:rsidRDefault="00E84DA4">
            <w:pPr>
              <w:spacing w:line="120" w:lineRule="auto"/>
            </w:pPr>
          </w:p>
          <w:p w14:paraId="0C465F4D" w14:textId="77777777" w:rsidR="00E84DA4" w:rsidRDefault="00794DAA">
            <w:pPr>
              <w:spacing w:after="58"/>
            </w:pPr>
            <w:r>
              <w:t xml:space="preserve">Supervisor Title: </w:t>
            </w:r>
            <w:r>
              <w:br/>
              <w:t>Various</w:t>
            </w:r>
          </w:p>
        </w:tc>
      </w:tr>
      <w:tr w:rsidR="00E84DA4" w14:paraId="33E63EB4" w14:textId="77777777">
        <w:trPr>
          <w:jc w:val="center"/>
        </w:trPr>
        <w:tc>
          <w:tcPr>
            <w:tcW w:w="4320" w:type="dxa"/>
            <w:tcBorders>
              <w:top w:val="single" w:sz="6" w:space="0" w:color="FFFFFF"/>
              <w:left w:val="single" w:sz="6" w:space="0" w:color="FFFFFF"/>
              <w:bottom w:val="single" w:sz="6" w:space="0" w:color="FFFFFF"/>
              <w:right w:val="single" w:sz="6" w:space="0" w:color="FFFFFF"/>
            </w:tcBorders>
          </w:tcPr>
          <w:p w14:paraId="063DD7DB" w14:textId="77777777" w:rsidR="00E84DA4" w:rsidRDefault="00E84DA4">
            <w:pPr>
              <w:spacing w:line="120" w:lineRule="auto"/>
            </w:pPr>
          </w:p>
        </w:tc>
        <w:tc>
          <w:tcPr>
            <w:tcW w:w="5040" w:type="dxa"/>
            <w:tcBorders>
              <w:top w:val="single" w:sz="6" w:space="0" w:color="FFFFFF"/>
              <w:left w:val="single" w:sz="6" w:space="0" w:color="FFFFFF"/>
              <w:bottom w:val="single" w:sz="6" w:space="0" w:color="FFFFFF"/>
              <w:right w:val="single" w:sz="6" w:space="0" w:color="FFFFFF"/>
            </w:tcBorders>
          </w:tcPr>
          <w:p w14:paraId="0D8EA1EA" w14:textId="77777777" w:rsidR="00E84DA4" w:rsidRDefault="00E84DA4">
            <w:pPr>
              <w:spacing w:line="120" w:lineRule="auto"/>
            </w:pPr>
          </w:p>
        </w:tc>
      </w:tr>
    </w:tbl>
    <w:p w14:paraId="23004C88" w14:textId="77777777" w:rsidR="00E84DA4" w:rsidRDefault="00E84DA4"/>
    <w:p w14:paraId="5D84C406" w14:textId="77777777" w:rsidR="00E84DA4" w:rsidRDefault="00794DAA">
      <w:pPr>
        <w:jc w:val="center"/>
        <w:rPr>
          <w:b/>
        </w:rPr>
      </w:pPr>
      <w:r>
        <w:rPr>
          <w:b/>
          <w:u w:val="single"/>
        </w:rPr>
        <w:t>Statement of the Grievance</w:t>
      </w:r>
    </w:p>
    <w:p w14:paraId="49610EBB" w14:textId="77777777" w:rsidR="00E84DA4" w:rsidRDefault="00E84DA4"/>
    <w:p w14:paraId="38218B5E" w14:textId="2DB2E175" w:rsidR="00E84DA4" w:rsidRDefault="00794DAA">
      <w:r>
        <w:t xml:space="preserve">A.)     </w:t>
      </w:r>
      <w:r>
        <w:rPr>
          <w:u w:val="single"/>
        </w:rPr>
        <w:t>Contract provision violated:</w:t>
      </w:r>
      <w:r>
        <w:t xml:space="preserve"> </w:t>
      </w:r>
      <w:r w:rsidR="008E2697">
        <w:t>Article 9.</w:t>
      </w:r>
      <w:r w:rsidR="007F2752">
        <w:t>12, 9.12.1</w:t>
      </w:r>
      <w:r w:rsidR="008E2697">
        <w:t xml:space="preserve"> and all others that apply.</w:t>
      </w:r>
      <w:r>
        <w:br/>
      </w:r>
    </w:p>
    <w:p w14:paraId="79EC6F22" w14:textId="77777777" w:rsidR="00E84DA4" w:rsidRDefault="00794DAA">
      <w:pPr>
        <w:tabs>
          <w:tab w:val="left" w:pos="-1440"/>
        </w:tabs>
        <w:ind w:left="720" w:hanging="720"/>
      </w:pPr>
      <w:r>
        <w:t>B.)</w:t>
      </w:r>
      <w:r>
        <w:tab/>
      </w:r>
      <w:r>
        <w:rPr>
          <w:u w:val="single"/>
        </w:rPr>
        <w:t>Manner in which the contract provision is claimed to have been violated:</w:t>
      </w:r>
    </w:p>
    <w:p w14:paraId="7E707152" w14:textId="74C5C714" w:rsidR="00E84DA4" w:rsidRDefault="00E84DA4">
      <w:pPr>
        <w:tabs>
          <w:tab w:val="left" w:pos="-1440"/>
        </w:tabs>
        <w:ind w:left="720" w:hanging="720"/>
      </w:pPr>
    </w:p>
    <w:p w14:paraId="6DA994BB" w14:textId="7010D275" w:rsidR="008E2697" w:rsidRDefault="008E2697">
      <w:pPr>
        <w:tabs>
          <w:tab w:val="left" w:pos="-1440"/>
        </w:tabs>
        <w:ind w:left="720" w:hanging="720"/>
      </w:pPr>
      <w:r>
        <w:tab/>
        <w:t>Under article 9.</w:t>
      </w:r>
      <w:r w:rsidR="007F2752">
        <w:t>12 and 9.12.1</w:t>
      </w:r>
      <w:r>
        <w:t>, essential employees required to report to work when the Mayor announces a citywide closure and directs non-essential employees to stay home will be compensated with one deferred holiday for every full shift they work. Any employee whose deferred holiday bank is full will receive the equivalent time in pay.</w:t>
      </w:r>
    </w:p>
    <w:p w14:paraId="184CCB45" w14:textId="551EC39F" w:rsidR="008E2697" w:rsidRDefault="008E2697">
      <w:pPr>
        <w:tabs>
          <w:tab w:val="left" w:pos="-1440"/>
        </w:tabs>
        <w:ind w:left="720" w:hanging="720"/>
      </w:pPr>
    </w:p>
    <w:p w14:paraId="735EE27F" w14:textId="2CDD88CD" w:rsidR="008E2697" w:rsidRPr="008B37A1" w:rsidRDefault="008E2697" w:rsidP="008B37A1">
      <w:pPr>
        <w:ind w:left="720"/>
        <w:rPr>
          <w:rFonts w:eastAsia="Times New Roman"/>
        </w:rPr>
      </w:pPr>
      <w:r w:rsidRPr="008B37A1">
        <w:t>On</w:t>
      </w:r>
      <w:r w:rsidR="000447EA" w:rsidRPr="008B37A1">
        <w:t xml:space="preserve"> March 17</w:t>
      </w:r>
      <w:r w:rsidR="000447EA" w:rsidRPr="008B37A1">
        <w:rPr>
          <w:vertAlign w:val="superscript"/>
        </w:rPr>
        <w:t>th</w:t>
      </w:r>
      <w:r w:rsidR="000447EA" w:rsidRPr="008B37A1">
        <w:t>, 2020</w:t>
      </w:r>
      <w:r w:rsidRPr="008B37A1">
        <w:t xml:space="preserve">, </w:t>
      </w:r>
      <w:r w:rsidR="0077600D" w:rsidRPr="008B37A1">
        <w:t xml:space="preserve">Chief Administrative Officer </w:t>
      </w:r>
      <w:r w:rsidR="008B37A1" w:rsidRPr="008B37A1">
        <w:t xml:space="preserve">Tom Rinehart, citing Mayor Ted Wheelers’ recent Emergency Declaration, sent an email stating </w:t>
      </w:r>
      <w:r w:rsidR="008B37A1" w:rsidRPr="008B37A1">
        <w:rPr>
          <w:color w:val="000000" w:themeColor="text1"/>
        </w:rPr>
        <w:t>“</w:t>
      </w:r>
      <w:r w:rsidR="008B37A1" w:rsidRPr="008B37A1">
        <w:rPr>
          <w:rFonts w:eastAsia="Times New Roman"/>
          <w:color w:val="000000" w:themeColor="text1"/>
          <w:shd w:val="clear" w:color="auto" w:fill="FFFFFF"/>
        </w:rPr>
        <w:t>Effective tomorrow, only employees designated as critical for day-to-day operations will be able to access City of Portland buildings managed by the Facilities Team. Badge access for all other employees will be turned off for the duration of Mayor Wheeler’s emergency declaration, which is scheduled through March 26, 2020 – but may well be extended.”</w:t>
      </w:r>
      <w:r w:rsidR="008B37A1" w:rsidRPr="008B37A1">
        <w:rPr>
          <w:rFonts w:eastAsia="Times New Roman"/>
        </w:rPr>
        <w:t xml:space="preserve"> </w:t>
      </w:r>
      <w:r w:rsidR="008B37A1">
        <w:rPr>
          <w:rFonts w:eastAsia="Times New Roman"/>
        </w:rPr>
        <w:t xml:space="preserve">This order amounted to an effective </w:t>
      </w:r>
      <w:r>
        <w:t>citywide closure and direct</w:t>
      </w:r>
      <w:r w:rsidR="008B37A1">
        <w:t>ion for</w:t>
      </w:r>
      <w:r>
        <w:t xml:space="preserve"> non-essential employees to stay home. Despite the clear language in the contract, the City is refusing to provide essential employees with the deferred holidays or the equivalent pay when </w:t>
      </w:r>
      <w:r w:rsidR="000447EA">
        <w:t xml:space="preserve">said employees </w:t>
      </w:r>
      <w:r>
        <w:t>report to work during this closure. This contract violation began on</w:t>
      </w:r>
      <w:r w:rsidR="000447EA">
        <w:t xml:space="preserve"> March 17</w:t>
      </w:r>
      <w:r w:rsidR="000447EA" w:rsidRPr="000447EA">
        <w:rPr>
          <w:vertAlign w:val="superscript"/>
        </w:rPr>
        <w:t>th</w:t>
      </w:r>
      <w:r w:rsidR="000447EA">
        <w:t>, 2020</w:t>
      </w:r>
      <w:r>
        <w:t xml:space="preserve"> and </w:t>
      </w:r>
      <w:r w:rsidR="000447EA">
        <w:t>is ongoing, co-extensive with the current Citywide closure</w:t>
      </w:r>
      <w:r w:rsidR="00677C0B">
        <w:t xml:space="preserve"> and future closures related to the COVID-19 pandemic</w:t>
      </w:r>
      <w:r w:rsidR="000447EA">
        <w:t>.</w:t>
      </w:r>
    </w:p>
    <w:p w14:paraId="4BA0AF06" w14:textId="77777777" w:rsidR="00E84DA4" w:rsidRDefault="00E84DA4">
      <w:pPr>
        <w:tabs>
          <w:tab w:val="left" w:pos="-1440"/>
        </w:tabs>
      </w:pPr>
    </w:p>
    <w:p w14:paraId="6E6744DB" w14:textId="77777777" w:rsidR="00E84DA4" w:rsidRDefault="00794DAA">
      <w:pPr>
        <w:ind w:left="720" w:hanging="720"/>
      </w:pPr>
      <w:r>
        <w:t>C.)</w:t>
      </w:r>
      <w:r>
        <w:tab/>
      </w:r>
      <w:r>
        <w:rPr>
          <w:u w:val="single"/>
        </w:rPr>
        <w:t>Pertinent information:</w:t>
      </w:r>
      <w:r>
        <w:t xml:space="preserve"> </w:t>
      </w:r>
    </w:p>
    <w:p w14:paraId="0AC970EF" w14:textId="77777777" w:rsidR="00E84DA4" w:rsidRDefault="00794DAA">
      <w:r>
        <w:tab/>
      </w:r>
      <w:r>
        <w:tab/>
      </w:r>
    </w:p>
    <w:p w14:paraId="6CFE3F89" w14:textId="77777777" w:rsidR="00E84DA4" w:rsidRDefault="00794DAA">
      <w:pPr>
        <w:tabs>
          <w:tab w:val="left" w:pos="-1440"/>
        </w:tabs>
      </w:pPr>
      <w:r>
        <w:rPr>
          <w:sz w:val="23"/>
          <w:szCs w:val="23"/>
        </w:rPr>
        <w:tab/>
      </w:r>
      <w:r>
        <w:rPr>
          <w:u w:val="single"/>
        </w:rPr>
        <w:t>Who was involved?</w:t>
      </w:r>
      <w:r>
        <w:t xml:space="preserve">      </w:t>
      </w:r>
    </w:p>
    <w:p w14:paraId="70D86C3E" w14:textId="77777777" w:rsidR="00E84DA4" w:rsidRDefault="00794DAA">
      <w:pPr>
        <w:tabs>
          <w:tab w:val="left" w:pos="-1440"/>
        </w:tabs>
      </w:pPr>
      <w:r>
        <w:t xml:space="preserve">      </w:t>
      </w:r>
    </w:p>
    <w:p w14:paraId="39BD81EE" w14:textId="53DA5366" w:rsidR="00E84DA4" w:rsidRDefault="00794DAA" w:rsidP="000447EA">
      <w:pPr>
        <w:tabs>
          <w:tab w:val="left" w:pos="-1440"/>
        </w:tabs>
        <w:ind w:left="720"/>
      </w:pPr>
      <w:r>
        <w:lastRenderedPageBreak/>
        <w:t>All essential employees</w:t>
      </w:r>
      <w:r w:rsidR="000447EA">
        <w:t xml:space="preserve"> covered by the </w:t>
      </w:r>
      <w:r w:rsidR="007F2752">
        <w:t>DCTU/AFSCME</w:t>
      </w:r>
      <w:r w:rsidR="000447EA">
        <w:t xml:space="preserve"> CBA</w:t>
      </w:r>
      <w:r>
        <w:t>.</w:t>
      </w:r>
    </w:p>
    <w:p w14:paraId="362E6798" w14:textId="77777777" w:rsidR="00E84DA4" w:rsidRDefault="00794DAA">
      <w:pPr>
        <w:tabs>
          <w:tab w:val="left" w:pos="-1440"/>
        </w:tabs>
      </w:pPr>
      <w:r>
        <w:t xml:space="preserve">       </w:t>
      </w:r>
    </w:p>
    <w:p w14:paraId="0E2F6F57" w14:textId="6AA16569" w:rsidR="000447EA" w:rsidRDefault="00794DAA">
      <w:pPr>
        <w:tabs>
          <w:tab w:val="left" w:pos="-1440"/>
        </w:tabs>
        <w:rPr>
          <w:u w:val="single"/>
        </w:rPr>
      </w:pPr>
      <w:r>
        <w:t xml:space="preserve">         </w:t>
      </w:r>
      <w:r>
        <w:rPr>
          <w:u w:val="single"/>
        </w:rPr>
        <w:t>Where did it occur?</w:t>
      </w:r>
    </w:p>
    <w:p w14:paraId="622F9F2C" w14:textId="18DAB644" w:rsidR="000447EA" w:rsidRDefault="000447EA">
      <w:pPr>
        <w:tabs>
          <w:tab w:val="left" w:pos="-1440"/>
        </w:tabs>
      </w:pPr>
      <w:r>
        <w:tab/>
      </w:r>
    </w:p>
    <w:p w14:paraId="198F1DC1" w14:textId="142D9949" w:rsidR="000447EA" w:rsidRPr="000447EA" w:rsidRDefault="000447EA">
      <w:pPr>
        <w:tabs>
          <w:tab w:val="left" w:pos="-1440"/>
        </w:tabs>
      </w:pPr>
      <w:r>
        <w:tab/>
        <w:t xml:space="preserve">City of Portland worksites covered by the </w:t>
      </w:r>
      <w:r w:rsidR="007F2752">
        <w:t>DCTU/AFSCME</w:t>
      </w:r>
      <w:r>
        <w:t xml:space="preserve"> CBA.</w:t>
      </w:r>
    </w:p>
    <w:p w14:paraId="049A9B24" w14:textId="398056C4" w:rsidR="00E84DA4" w:rsidRDefault="00794DAA">
      <w:pPr>
        <w:tabs>
          <w:tab w:val="left" w:pos="-1440"/>
        </w:tabs>
      </w:pPr>
      <w:r>
        <w:t xml:space="preserve">  </w:t>
      </w:r>
    </w:p>
    <w:p w14:paraId="3A3E648F" w14:textId="77777777" w:rsidR="00E84DA4" w:rsidRDefault="00E84DA4">
      <w:pPr>
        <w:tabs>
          <w:tab w:val="left" w:pos="-1440"/>
        </w:tabs>
      </w:pPr>
    </w:p>
    <w:p w14:paraId="06A4896F" w14:textId="77777777" w:rsidR="00E84DA4" w:rsidRDefault="00794DAA">
      <w:pPr>
        <w:tabs>
          <w:tab w:val="left" w:pos="-1440"/>
        </w:tabs>
      </w:pPr>
      <w:r>
        <w:t xml:space="preserve">           </w:t>
      </w:r>
      <w:r>
        <w:rPr>
          <w:u w:val="single"/>
        </w:rPr>
        <w:t>When did it occur?</w:t>
      </w:r>
      <w:r>
        <w:t xml:space="preserve">  </w:t>
      </w:r>
    </w:p>
    <w:p w14:paraId="713925BD" w14:textId="77777777" w:rsidR="00E84DA4" w:rsidRDefault="00E84DA4">
      <w:pPr>
        <w:tabs>
          <w:tab w:val="left" w:pos="-1440"/>
        </w:tabs>
      </w:pPr>
    </w:p>
    <w:p w14:paraId="44A8316D" w14:textId="23626F97" w:rsidR="000447EA" w:rsidRDefault="000447EA" w:rsidP="000447EA">
      <w:pPr>
        <w:tabs>
          <w:tab w:val="left" w:pos="-1440"/>
        </w:tabs>
        <w:ind w:left="720"/>
      </w:pPr>
      <w:r>
        <w:t>This contract violation began on March 17</w:t>
      </w:r>
      <w:r w:rsidRPr="000447EA">
        <w:rPr>
          <w:vertAlign w:val="superscript"/>
        </w:rPr>
        <w:t>th</w:t>
      </w:r>
      <w:r>
        <w:t>, 2020 and is ongoing, co-extensive with the current Citywide closure.</w:t>
      </w:r>
    </w:p>
    <w:p w14:paraId="6FB8E628" w14:textId="77777777" w:rsidR="000447EA" w:rsidRDefault="000447EA" w:rsidP="000447EA">
      <w:pPr>
        <w:tabs>
          <w:tab w:val="left" w:pos="-1440"/>
        </w:tabs>
        <w:ind w:left="720"/>
      </w:pPr>
    </w:p>
    <w:p w14:paraId="3DB7A735" w14:textId="77777777" w:rsidR="00E84DA4" w:rsidRDefault="00794DAA">
      <w:pPr>
        <w:tabs>
          <w:tab w:val="left" w:pos="-1440"/>
        </w:tabs>
        <w:ind w:left="2880" w:hanging="2880"/>
      </w:pPr>
      <w:r>
        <w:t xml:space="preserve">D.)      </w:t>
      </w:r>
      <w:r>
        <w:rPr>
          <w:u w:val="single"/>
        </w:rPr>
        <w:t>Remedy sought?</w:t>
      </w:r>
      <w:r>
        <w:t xml:space="preserve">  </w:t>
      </w:r>
    </w:p>
    <w:p w14:paraId="58496FEE" w14:textId="77777777" w:rsidR="000447EA" w:rsidRDefault="00794DAA" w:rsidP="000447EA">
      <w:pPr>
        <w:tabs>
          <w:tab w:val="left" w:pos="-1440"/>
        </w:tabs>
        <w:ind w:left="2880" w:hanging="2880"/>
      </w:pPr>
      <w:r>
        <w:t xml:space="preserve">          </w:t>
      </w:r>
    </w:p>
    <w:p w14:paraId="5576EBE1" w14:textId="77777777" w:rsidR="000447EA" w:rsidRDefault="000447EA" w:rsidP="000447EA">
      <w:pPr>
        <w:tabs>
          <w:tab w:val="left" w:pos="-1440"/>
        </w:tabs>
        <w:ind w:left="2880" w:hanging="2880"/>
      </w:pPr>
      <w:r>
        <w:t xml:space="preserve">           Make all affected employees whole by providing </w:t>
      </w:r>
      <w:r w:rsidR="00794DAA">
        <w:t>deferred holiday</w:t>
      </w:r>
      <w:r>
        <w:t>s</w:t>
      </w:r>
      <w:r w:rsidR="00794DAA">
        <w:t xml:space="preserve"> and pay in accordance with</w:t>
      </w:r>
      <w:r>
        <w:t xml:space="preserve">  </w:t>
      </w:r>
    </w:p>
    <w:p w14:paraId="2D907922" w14:textId="127A86BD" w:rsidR="00E84DA4" w:rsidRDefault="000447EA" w:rsidP="000447EA">
      <w:pPr>
        <w:tabs>
          <w:tab w:val="left" w:pos="-1440"/>
        </w:tabs>
        <w:ind w:left="2880" w:hanging="2880"/>
      </w:pPr>
      <w:r>
        <w:t xml:space="preserve">           the </w:t>
      </w:r>
      <w:r w:rsidR="007F2752">
        <w:t>DCTU/AFSCME</w:t>
      </w:r>
      <w:r>
        <w:t xml:space="preserve"> CBA</w:t>
      </w:r>
      <w:r w:rsidR="00677C0B">
        <w:t>.</w:t>
      </w:r>
      <w:r w:rsidR="00794DAA">
        <w:br/>
      </w:r>
    </w:p>
    <w:p w14:paraId="1A83CCD2" w14:textId="75B141EB" w:rsidR="00E84DA4" w:rsidRDefault="00794DAA">
      <w:pPr>
        <w:tabs>
          <w:tab w:val="left" w:pos="-1440"/>
        </w:tabs>
        <w:ind w:left="2880" w:hanging="2880"/>
      </w:pPr>
      <w:r>
        <w:t>E.)</w:t>
      </w:r>
      <w:r w:rsidR="000447EA">
        <w:t xml:space="preserve">.    </w:t>
      </w:r>
      <w:r>
        <w:rPr>
          <w:u w:val="single"/>
        </w:rPr>
        <w:t>Additional information:</w:t>
      </w:r>
      <w:r>
        <w:t xml:space="preserve"> </w:t>
      </w:r>
    </w:p>
    <w:p w14:paraId="4D5541FF" w14:textId="77777777" w:rsidR="00E84DA4" w:rsidRDefault="00794DAA">
      <w:r>
        <w:t xml:space="preserve">         </w:t>
      </w:r>
    </w:p>
    <w:p w14:paraId="5AD1A5D5" w14:textId="77777777" w:rsidR="00E84DA4" w:rsidRDefault="00794DAA">
      <w:r>
        <w:t xml:space="preserve">        </w:t>
      </w:r>
    </w:p>
    <w:p w14:paraId="3BFECF7D" w14:textId="03293B6E" w:rsidR="00794DAA" w:rsidRDefault="00794DAA" w:rsidP="007F2752">
      <w:pPr>
        <w:tabs>
          <w:tab w:val="left" w:pos="-1440"/>
        </w:tabs>
      </w:pPr>
      <w:r>
        <w:tab/>
      </w:r>
    </w:p>
    <w:p w14:paraId="5FD9A840" w14:textId="3C189AEB" w:rsidR="007F2752" w:rsidRDefault="007F2752" w:rsidP="007F2752">
      <w:pPr>
        <w:tabs>
          <w:tab w:val="left" w:pos="-1440"/>
        </w:tabs>
      </w:pPr>
    </w:p>
    <w:p w14:paraId="16FBF7AD" w14:textId="5B595434" w:rsidR="007F2752" w:rsidRDefault="007F2752" w:rsidP="007F2752">
      <w:pPr>
        <w:tabs>
          <w:tab w:val="left" w:pos="-1440"/>
        </w:tabs>
      </w:pPr>
    </w:p>
    <w:p w14:paraId="0D003D1D" w14:textId="6C1C8BF9" w:rsidR="007F2752" w:rsidRDefault="007F2752" w:rsidP="007F2752">
      <w:pPr>
        <w:tabs>
          <w:tab w:val="left" w:pos="-1440"/>
        </w:tabs>
      </w:pPr>
      <w:r>
        <w:t xml:space="preserve">Bao Nguyen </w:t>
      </w:r>
    </w:p>
    <w:p w14:paraId="1E32C1F3" w14:textId="3B2EC456" w:rsidR="007F2752" w:rsidRDefault="007F2752" w:rsidP="007F2752">
      <w:pPr>
        <w:tabs>
          <w:tab w:val="left" w:pos="-1440"/>
        </w:tabs>
      </w:pPr>
      <w:r>
        <w:t>AFSCME Council Representative</w:t>
      </w:r>
    </w:p>
    <w:p w14:paraId="5180A2D1" w14:textId="77777777" w:rsidR="00E84DA4" w:rsidRDefault="00E84DA4"/>
    <w:sectPr w:rsidR="00E84DA4">
      <w:pgSz w:w="12240" w:h="15840"/>
      <w:pgMar w:top="1440" w:right="720" w:bottom="1440" w:left="720" w:header="1440" w:footer="14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DA4"/>
    <w:rsid w:val="000447EA"/>
    <w:rsid w:val="000857B4"/>
    <w:rsid w:val="000B355D"/>
    <w:rsid w:val="001005B9"/>
    <w:rsid w:val="00517D94"/>
    <w:rsid w:val="00677C0B"/>
    <w:rsid w:val="0077600D"/>
    <w:rsid w:val="00794DAA"/>
    <w:rsid w:val="007F2752"/>
    <w:rsid w:val="008B37A1"/>
    <w:rsid w:val="008E2697"/>
    <w:rsid w:val="00A56978"/>
    <w:rsid w:val="00B30729"/>
    <w:rsid w:val="00B47552"/>
    <w:rsid w:val="00B96EDF"/>
    <w:rsid w:val="00E8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935A9"/>
  <w15:docId w15:val="{93B762A4-A19E-294D-84B8-2F80F34EE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20" w:type="dxa"/>
        <w:right w:w="1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652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O'Laughlen</dc:creator>
  <cp:lastModifiedBy>tbolt57 is awesome</cp:lastModifiedBy>
  <cp:revision>2</cp:revision>
  <dcterms:created xsi:type="dcterms:W3CDTF">2020-04-17T23:44:00Z</dcterms:created>
  <dcterms:modified xsi:type="dcterms:W3CDTF">2020-04-17T23:44:00Z</dcterms:modified>
</cp:coreProperties>
</file>